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220" w:rsidRDefault="00D65220">
      <w:pPr>
        <w:rPr>
          <w:b/>
        </w:rPr>
      </w:pPr>
    </w:p>
    <w:tbl>
      <w:tblPr>
        <w:tblW w:w="11130" w:type="dxa"/>
        <w:tblLayout w:type="fixed"/>
        <w:tblLook w:val="0000" w:firstRow="0" w:lastRow="0" w:firstColumn="0" w:lastColumn="0" w:noHBand="0" w:noVBand="0"/>
      </w:tblPr>
      <w:tblGrid>
        <w:gridCol w:w="1668"/>
        <w:gridCol w:w="9462"/>
      </w:tblGrid>
      <w:tr w:rsidR="00D65220">
        <w:trPr>
          <w:trHeight w:val="1703"/>
        </w:trPr>
        <w:tc>
          <w:tcPr>
            <w:tcW w:w="1668" w:type="dxa"/>
          </w:tcPr>
          <w:tbl>
            <w:tblPr>
              <w:tblW w:w="11130" w:type="dxa"/>
              <w:tblLayout w:type="fixed"/>
              <w:tblLook w:val="0000" w:firstRow="0" w:lastRow="0" w:firstColumn="0" w:lastColumn="0" w:noHBand="0" w:noVBand="0"/>
            </w:tblPr>
            <w:tblGrid>
              <w:gridCol w:w="1384"/>
              <w:gridCol w:w="9746"/>
            </w:tblGrid>
            <w:tr w:rsidR="006B1C62">
              <w:trPr>
                <w:trHeight w:val="1703"/>
              </w:trPr>
              <w:tc>
                <w:tcPr>
                  <w:tcW w:w="1384" w:type="dxa"/>
                </w:tcPr>
                <w:p w:rsidR="006B1C62" w:rsidRDefault="00A738B1" w:rsidP="006B1C62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noProof/>
                    </w:rPr>
                    <w:drawing>
                      <wp:anchor distT="0" distB="0" distL="114300" distR="114300" simplePos="0" relativeHeight="251657728" behindDoc="1" locked="0" layoutInCell="1" allowOverlap="1">
                        <wp:simplePos x="0" y="0"/>
                        <wp:positionH relativeFrom="column">
                          <wp:posOffset>-50800</wp:posOffset>
                        </wp:positionH>
                        <wp:positionV relativeFrom="paragraph">
                          <wp:posOffset>0</wp:posOffset>
                        </wp:positionV>
                        <wp:extent cx="776605" cy="771525"/>
                        <wp:effectExtent l="0" t="0" r="4445" b="9525"/>
                        <wp:wrapThrough wrapText="bothSides">
                          <wp:wrapPolygon edited="0">
                            <wp:start x="0" y="0"/>
                            <wp:lineTo x="0" y="21333"/>
                            <wp:lineTo x="21194" y="21333"/>
                            <wp:lineTo x="21194" y="0"/>
                            <wp:lineTo x="0" y="0"/>
                          </wp:wrapPolygon>
                        </wp:wrapThrough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6605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746" w:type="dxa"/>
                </w:tcPr>
                <w:p w:rsidR="006B1C62" w:rsidRDefault="006B1C62" w:rsidP="006B1C62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:rsidR="00D65220" w:rsidRDefault="00D65220">
            <w:pPr>
              <w:rPr>
                <w:rFonts w:ascii="Arial" w:hAnsi="Arial"/>
                <w:b/>
              </w:rPr>
            </w:pPr>
          </w:p>
        </w:tc>
        <w:tc>
          <w:tcPr>
            <w:tcW w:w="9462" w:type="dxa"/>
          </w:tcPr>
          <w:p w:rsidR="006B1C62" w:rsidRPr="006B1C62" w:rsidRDefault="006B1C62" w:rsidP="006B1C62">
            <w:pPr>
              <w:ind w:right="-143"/>
              <w:jc w:val="center"/>
              <w:rPr>
                <w:caps/>
                <w:sz w:val="20"/>
              </w:rPr>
            </w:pPr>
            <w:r w:rsidRPr="006B1C62">
              <w:rPr>
                <w:caps/>
                <w:sz w:val="20"/>
              </w:rPr>
              <w:t>Общероссийская общественно-государственная организация</w:t>
            </w:r>
          </w:p>
          <w:p w:rsidR="006B1C62" w:rsidRPr="006B1C62" w:rsidRDefault="006B1C62" w:rsidP="006B1C62">
            <w:pPr>
              <w:ind w:right="-1"/>
              <w:jc w:val="center"/>
              <w:rPr>
                <w:caps/>
                <w:sz w:val="20"/>
              </w:rPr>
            </w:pPr>
            <w:r w:rsidRPr="006B1C62">
              <w:rPr>
                <w:caps/>
                <w:sz w:val="20"/>
              </w:rPr>
              <w:t xml:space="preserve"> «Добровольное общество содействия армии, авиации и флоту России»</w:t>
            </w:r>
          </w:p>
          <w:p w:rsidR="00A54696" w:rsidRPr="00F74157" w:rsidRDefault="00A54696" w:rsidP="00A54696">
            <w:pPr>
              <w:spacing w:before="120"/>
              <w:jc w:val="center"/>
              <w:rPr>
                <w:caps/>
                <w:sz w:val="20"/>
              </w:rPr>
            </w:pPr>
            <w:r w:rsidRPr="00F74157">
              <w:rPr>
                <w:caps/>
                <w:sz w:val="20"/>
              </w:rPr>
              <w:t xml:space="preserve">Профессиональное образовательное учреждение </w:t>
            </w:r>
          </w:p>
          <w:p w:rsidR="00D65220" w:rsidRDefault="00D65220" w:rsidP="006B1C62">
            <w:pPr>
              <w:pStyle w:val="1"/>
              <w:pBdr>
                <w:bottom w:val="single" w:sz="12" w:space="1" w:color="auto"/>
              </w:pBdr>
              <w:rPr>
                <w:sz w:val="32"/>
              </w:rPr>
            </w:pPr>
            <w:r>
              <w:rPr>
                <w:sz w:val="32"/>
              </w:rPr>
              <w:t>СОЧИНСКАЯ ОБЪЕДИНЕННАЯ ТЕХНИЧЕСКАЯ ШКОЛА</w:t>
            </w:r>
          </w:p>
          <w:p w:rsidR="00D65220" w:rsidRDefault="00D65220" w:rsidP="006B1C6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354002</w:t>
            </w:r>
            <w:r w:rsidR="009F131E">
              <w:rPr>
                <w:sz w:val="16"/>
              </w:rPr>
              <w:t xml:space="preserve"> </w:t>
            </w:r>
            <w:r>
              <w:rPr>
                <w:sz w:val="16"/>
              </w:rPr>
              <w:t>г. Сочи ул. Бзугу д. 6 тел/факс 8622-</w:t>
            </w:r>
            <w:r w:rsidR="006B1C62">
              <w:rPr>
                <w:sz w:val="16"/>
              </w:rPr>
              <w:t>6</w:t>
            </w:r>
            <w:r>
              <w:rPr>
                <w:sz w:val="16"/>
              </w:rPr>
              <w:t>7-</w:t>
            </w:r>
            <w:r w:rsidR="006B1C62">
              <w:rPr>
                <w:sz w:val="16"/>
              </w:rPr>
              <w:t>20</w:t>
            </w:r>
            <w:r>
              <w:rPr>
                <w:sz w:val="16"/>
              </w:rPr>
              <w:t>-3</w:t>
            </w:r>
            <w:r w:rsidR="006B1C62">
              <w:rPr>
                <w:sz w:val="16"/>
              </w:rPr>
              <w:t>8</w:t>
            </w:r>
            <w:r>
              <w:rPr>
                <w:sz w:val="16"/>
              </w:rPr>
              <w:t xml:space="preserve"> р/с 40703810930060102004, к/с 30101810600000000602, БИК 046015602</w:t>
            </w:r>
            <w:r w:rsidR="009F131E">
              <w:rPr>
                <w:sz w:val="16"/>
              </w:rPr>
              <w:t xml:space="preserve"> </w:t>
            </w:r>
            <w:r>
              <w:rPr>
                <w:sz w:val="16"/>
              </w:rPr>
              <w:t>в Юго-Западном банке СБ РФ г. Ростов-на-Дону</w:t>
            </w:r>
          </w:p>
        </w:tc>
      </w:tr>
    </w:tbl>
    <w:p w:rsidR="005B3A41" w:rsidRDefault="005B3A41" w:rsidP="005B3A41">
      <w:pPr>
        <w:ind w:left="284" w:firstLine="283"/>
        <w:jc w:val="right"/>
        <w:rPr>
          <w:szCs w:val="24"/>
        </w:rPr>
      </w:pPr>
      <w:r>
        <w:rPr>
          <w:szCs w:val="24"/>
        </w:rPr>
        <w:t xml:space="preserve">Утверждено </w:t>
      </w:r>
    </w:p>
    <w:p w:rsidR="005B3A41" w:rsidRDefault="005B3A41" w:rsidP="005B3A41">
      <w:pPr>
        <w:ind w:left="284" w:firstLine="283"/>
        <w:jc w:val="right"/>
        <w:rPr>
          <w:szCs w:val="24"/>
        </w:rPr>
      </w:pPr>
      <w:r>
        <w:rPr>
          <w:szCs w:val="24"/>
        </w:rPr>
        <w:t xml:space="preserve">Приказом от 09.01.2017 года </w:t>
      </w:r>
      <w:r w:rsidRPr="005B3A41">
        <w:rPr>
          <w:szCs w:val="24"/>
        </w:rPr>
        <w:t>№ 0</w:t>
      </w:r>
      <w:r w:rsidR="00480450">
        <w:rPr>
          <w:szCs w:val="24"/>
        </w:rPr>
        <w:t>6</w:t>
      </w:r>
      <w:r w:rsidRPr="005B3A41">
        <w:rPr>
          <w:szCs w:val="24"/>
        </w:rPr>
        <w:t>/17-У</w:t>
      </w:r>
      <w:r>
        <w:rPr>
          <w:szCs w:val="24"/>
        </w:rPr>
        <w:t xml:space="preserve"> </w:t>
      </w:r>
    </w:p>
    <w:p w:rsidR="00A419C6" w:rsidRDefault="005B3A41" w:rsidP="005B3A41">
      <w:pPr>
        <w:ind w:left="284" w:firstLine="283"/>
        <w:jc w:val="right"/>
        <w:rPr>
          <w:szCs w:val="24"/>
        </w:rPr>
      </w:pPr>
      <w:r>
        <w:rPr>
          <w:szCs w:val="24"/>
        </w:rPr>
        <w:t xml:space="preserve">Приложение № </w:t>
      </w:r>
      <w:r w:rsidR="00480450">
        <w:rPr>
          <w:szCs w:val="24"/>
        </w:rPr>
        <w:t>1</w:t>
      </w:r>
    </w:p>
    <w:p w:rsidR="004E0B95" w:rsidRPr="004E0B95" w:rsidRDefault="004E0B95" w:rsidP="004E0B95">
      <w:pPr>
        <w:ind w:right="118"/>
        <w:jc w:val="center"/>
        <w:rPr>
          <w:b/>
          <w:caps/>
          <w:spacing w:val="40"/>
          <w:sz w:val="28"/>
          <w:szCs w:val="28"/>
        </w:rPr>
      </w:pPr>
      <w:r w:rsidRPr="004E0B95">
        <w:rPr>
          <w:b/>
          <w:caps/>
          <w:spacing w:val="40"/>
          <w:sz w:val="28"/>
          <w:szCs w:val="28"/>
        </w:rPr>
        <w:t>Порядок</w:t>
      </w:r>
    </w:p>
    <w:p w:rsidR="00EC6DF3" w:rsidRPr="004E0B95" w:rsidRDefault="004E0B95" w:rsidP="004E0B95">
      <w:pPr>
        <w:ind w:right="118"/>
        <w:jc w:val="center"/>
        <w:rPr>
          <w:b/>
          <w:caps/>
          <w:spacing w:val="40"/>
          <w:szCs w:val="24"/>
        </w:rPr>
      </w:pPr>
      <w:r w:rsidRPr="004E0B95">
        <w:rPr>
          <w:b/>
          <w:caps/>
          <w:spacing w:val="40"/>
          <w:szCs w:val="24"/>
        </w:rPr>
        <w:t xml:space="preserve">определения цен (тарифов) на </w:t>
      </w:r>
      <w:r>
        <w:rPr>
          <w:b/>
          <w:caps/>
          <w:spacing w:val="40"/>
          <w:szCs w:val="24"/>
        </w:rPr>
        <w:t xml:space="preserve">платные образовательные услуги </w:t>
      </w:r>
      <w:r w:rsidR="005B3A41" w:rsidRPr="004E0B95">
        <w:rPr>
          <w:b/>
          <w:caps/>
          <w:spacing w:val="40"/>
          <w:szCs w:val="24"/>
        </w:rPr>
        <w:t xml:space="preserve">ПОУ Сочинская ОТШ «ДОСААФ России» </w:t>
      </w:r>
      <w:r w:rsidR="005B3A41" w:rsidRPr="004E0B95">
        <w:rPr>
          <w:b/>
          <w:caps/>
          <w:spacing w:val="40"/>
          <w:szCs w:val="24"/>
        </w:rPr>
        <w:t xml:space="preserve">в </w:t>
      </w:r>
      <w:r w:rsidR="005B3A41" w:rsidRPr="004E0B95">
        <w:rPr>
          <w:b/>
          <w:caps/>
          <w:spacing w:val="40"/>
          <w:szCs w:val="24"/>
        </w:rPr>
        <w:t xml:space="preserve">2017 году </w:t>
      </w:r>
    </w:p>
    <w:p w:rsidR="005B3A41" w:rsidRPr="005B3A41" w:rsidRDefault="005B3A41" w:rsidP="005B3A41">
      <w:pPr>
        <w:ind w:right="118"/>
        <w:jc w:val="center"/>
        <w:rPr>
          <w:b/>
          <w:caps/>
          <w:spacing w:val="40"/>
          <w:sz w:val="28"/>
          <w:szCs w:val="28"/>
        </w:rPr>
      </w:pPr>
    </w:p>
    <w:p w:rsidR="005F4993" w:rsidRPr="00F562B9" w:rsidRDefault="005F4993" w:rsidP="005F4993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>1. Общие положения</w:t>
      </w:r>
    </w:p>
    <w:p w:rsidR="005F4993" w:rsidRPr="005F4993" w:rsidRDefault="004E0B95" w:rsidP="005F4993">
      <w:pPr>
        <w:ind w:left="284" w:firstLine="283"/>
        <w:jc w:val="both"/>
        <w:rPr>
          <w:bCs/>
          <w:szCs w:val="24"/>
        </w:rPr>
      </w:pPr>
      <w:r w:rsidRPr="004E0B95">
        <w:rPr>
          <w:bCs/>
          <w:szCs w:val="24"/>
        </w:rPr>
        <w:t xml:space="preserve">Настоящий Порядок разработан в целях определения цен (тарифов) на платные образовательные услуги, оказываемые </w:t>
      </w:r>
      <w:r w:rsidR="00401CB4">
        <w:rPr>
          <w:bCs/>
          <w:szCs w:val="24"/>
        </w:rPr>
        <w:t>ПОУ Сочинская ОТШ</w:t>
      </w:r>
      <w:r w:rsidR="005F4993" w:rsidRPr="005F4993">
        <w:rPr>
          <w:bCs/>
          <w:szCs w:val="24"/>
        </w:rPr>
        <w:t xml:space="preserve"> «ДОСААФ России» (далее учреждение).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 xml:space="preserve">2. </w:t>
      </w:r>
      <w:r w:rsidRPr="00F562B9">
        <w:rPr>
          <w:bCs/>
          <w:szCs w:val="24"/>
        </w:rPr>
        <w:t>ПОУ Сочинская ОТШ «ДОСААФ России» определяет цены (тариф</w:t>
      </w:r>
      <w:r w:rsidRPr="00F562B9">
        <w:rPr>
          <w:bCs/>
          <w:szCs w:val="24"/>
        </w:rPr>
        <w:t>ы) на образовательные услуги на основании размера расчётных затрат на оказание организацией дополнительного профессионального образования образовательных услуг</w:t>
      </w:r>
      <w:bookmarkStart w:id="0" w:name="_GoBack"/>
      <w:bookmarkEnd w:id="0"/>
      <w:r w:rsidRPr="00F562B9">
        <w:rPr>
          <w:bCs/>
          <w:szCs w:val="24"/>
        </w:rPr>
        <w:t xml:space="preserve"> по основным видам деятельности, а также размера расчётных на содержание имущества учреждения с учётом: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 xml:space="preserve">- анализа фактических затрат учреждения на оказание образовательных услуг по основным видам деятельности в предшествующие периоды, а при отсутствии данного вида услуг в предшествующем периоде с учётом планово-нормативных показателей на плановый период (год); 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>- прогнозной информации о динамике изменения уровня цен (тарифов) в составе затрат на оказание учреждением платных образовательных услуг по основным видам деятельности, включая регулируемые государством цены (тарифы) на товары, работы, услуги субъектов естественных монополий;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>- анализа существующего и прогнозируемого объема рыночных предложений на аналогичные услуги и уровня цен (тарифов) на них;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>- возможности развития и совершенствования образовательной деятельности и материально-технической базы учреждения.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>3. Расчет себестоимости платных образовательных услуг осуществляется в соответствии с принятой в учреждении методикой (если учредителем не установлено иное), которая группирует затраты на оказание платных образовательных услуг в соответствии с их экономическим содержанием на прямые и косвенные: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>3.1. К прямым расходам относятся затраты, непосредственно связанные с оказанием платной образовательной услуги и потребляемые в процессе ее оказания: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>3.1.1.</w:t>
      </w:r>
      <w:r>
        <w:rPr>
          <w:bCs/>
          <w:szCs w:val="24"/>
        </w:rPr>
        <w:t xml:space="preserve"> </w:t>
      </w:r>
      <w:r w:rsidRPr="00F562B9">
        <w:rPr>
          <w:bCs/>
          <w:szCs w:val="24"/>
        </w:rPr>
        <w:t>Оплата труда</w:t>
      </w:r>
      <w:r>
        <w:rPr>
          <w:bCs/>
          <w:szCs w:val="24"/>
        </w:rPr>
        <w:t xml:space="preserve"> основного персонала учреждения </w:t>
      </w:r>
      <w:r w:rsidRPr="00F562B9">
        <w:rPr>
          <w:bCs/>
          <w:szCs w:val="24"/>
        </w:rPr>
        <w:t xml:space="preserve">определяется на основе действующих нормативных правовых актов. Расчёт расходов на оплату труда производится с учётом годового фонда рабочего времени и времени оказания услуги. 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>3.1.2.</w:t>
      </w:r>
      <w:r>
        <w:rPr>
          <w:bCs/>
          <w:szCs w:val="24"/>
        </w:rPr>
        <w:t xml:space="preserve"> </w:t>
      </w:r>
      <w:r w:rsidRPr="00F562B9">
        <w:rPr>
          <w:bCs/>
          <w:szCs w:val="24"/>
        </w:rPr>
        <w:t>Начисления на оплату труда основного персонала определяются в соответствии с законодательством Российской Федерации и вк</w:t>
      </w:r>
      <w:r>
        <w:rPr>
          <w:bCs/>
          <w:szCs w:val="24"/>
        </w:rPr>
        <w:t>лючают взносы в Пенсионный фонд</w:t>
      </w:r>
      <w:r w:rsidRPr="00F562B9">
        <w:rPr>
          <w:bCs/>
          <w:szCs w:val="24"/>
        </w:rPr>
        <w:t>, а также взносы по страховым тарифам на обязательное страхование от несчастных случаев на производстве и профессиональных заболеваний.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>3.1.3.</w:t>
      </w:r>
      <w:r>
        <w:rPr>
          <w:bCs/>
          <w:szCs w:val="24"/>
        </w:rPr>
        <w:t xml:space="preserve"> </w:t>
      </w:r>
      <w:r w:rsidRPr="00F562B9">
        <w:rPr>
          <w:bCs/>
          <w:szCs w:val="24"/>
        </w:rPr>
        <w:t>Материальные затраты определяются в соответствии с Налоговым кодексом Российской Федерации и включают расходы на приобретение инвентаря, оборудования и других</w:t>
      </w:r>
      <w:r>
        <w:rPr>
          <w:bCs/>
          <w:szCs w:val="24"/>
        </w:rPr>
        <w:t xml:space="preserve"> расходных материалов, использу</w:t>
      </w:r>
      <w:r w:rsidRPr="00F562B9">
        <w:rPr>
          <w:bCs/>
          <w:szCs w:val="24"/>
        </w:rPr>
        <w:t>емых непосредственно в процессе оказания платной образовательной услуги и не являющихся амортизируемым имуществом. Материальные затраты рассчитываются на основе фактических данных за предшествующий период, а при отсутствии данного вида услуг в предшествующем периоде можно использовать планово-норматив</w:t>
      </w:r>
      <w:r>
        <w:rPr>
          <w:bCs/>
          <w:szCs w:val="24"/>
        </w:rPr>
        <w:t>ные показатели на плановый пери</w:t>
      </w:r>
      <w:r w:rsidRPr="00F562B9">
        <w:rPr>
          <w:bCs/>
          <w:szCs w:val="24"/>
        </w:rPr>
        <w:t>од (год);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lastRenderedPageBreak/>
        <w:t>3.1.4.</w:t>
      </w:r>
      <w:r>
        <w:rPr>
          <w:bCs/>
          <w:szCs w:val="24"/>
        </w:rPr>
        <w:t xml:space="preserve"> </w:t>
      </w:r>
      <w:r w:rsidRPr="00F562B9">
        <w:rPr>
          <w:bCs/>
          <w:szCs w:val="24"/>
        </w:rPr>
        <w:t>Плата за аренду помещений, сооружений определяется в соответствии с заключенными договорами. В прямые расходы арендная плата включается в том случае, если аренда уплачивается за помещения, в которых непосредственно оказывается образовательная услуга на платной основе. Затраты включаются в себестоимость в зависимости от объема оказываемых услуг за определенный период времени и количества потребителей услуги;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>В связи с тем, что учреждение самостоятельно формирует свою учётную политику, исходя из его сложившейся структуры, специфики и других особенностей деятельности, то к прямым расходам могут быть отнесены и некоторые другие виды затрат.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 xml:space="preserve">3.2. К косвенным расходам на оказание платных образовательных услуг в соответствии с Налоговым кодексом Российской Федерации относятся те виды затрат, которые необходимы для оказания платных образовательных услуг, но которые нельзя включить в себестоимость методом прямого счёта. 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>Косвенными расходами при оказании платных образовательных услуг являются: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>3.2.1.</w:t>
      </w:r>
      <w:r>
        <w:rPr>
          <w:bCs/>
          <w:szCs w:val="24"/>
        </w:rPr>
        <w:t xml:space="preserve"> </w:t>
      </w:r>
      <w:r w:rsidRPr="00F562B9">
        <w:rPr>
          <w:bCs/>
          <w:szCs w:val="24"/>
        </w:rPr>
        <w:t xml:space="preserve">Оплата труда </w:t>
      </w:r>
      <w:proofErr w:type="spellStart"/>
      <w:r w:rsidRPr="00F562B9">
        <w:rPr>
          <w:bCs/>
          <w:szCs w:val="24"/>
        </w:rPr>
        <w:t>общеучрежденческого</w:t>
      </w:r>
      <w:proofErr w:type="spellEnd"/>
      <w:r w:rsidRPr="00F562B9">
        <w:rPr>
          <w:bCs/>
          <w:szCs w:val="24"/>
        </w:rPr>
        <w:t xml:space="preserve"> персонала, непосредственно не занятого в оказании платных образовательных услуг;  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>3.2.2.</w:t>
      </w:r>
      <w:r>
        <w:rPr>
          <w:bCs/>
          <w:szCs w:val="24"/>
        </w:rPr>
        <w:t xml:space="preserve"> </w:t>
      </w:r>
      <w:r w:rsidRPr="00F562B9">
        <w:rPr>
          <w:bCs/>
          <w:szCs w:val="24"/>
        </w:rPr>
        <w:t xml:space="preserve">Начисления на оплату труда </w:t>
      </w:r>
      <w:proofErr w:type="spellStart"/>
      <w:r w:rsidRPr="00F562B9">
        <w:rPr>
          <w:bCs/>
          <w:szCs w:val="24"/>
        </w:rPr>
        <w:t>общеучрежденческого</w:t>
      </w:r>
      <w:proofErr w:type="spellEnd"/>
      <w:r w:rsidRPr="00F562B9">
        <w:rPr>
          <w:bCs/>
          <w:szCs w:val="24"/>
        </w:rPr>
        <w:t xml:space="preserve"> персонала, включающие взносы в Пенсионный фонд, а также взносы по страховым тарифам на обязательное страхование от несчастных случаев на производстве и профессиональных заболеваний; 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 xml:space="preserve">3.2.3.Хозяйственные расходы (расходы на приобретение предметов снабжения, инвентаря, в том числе канцелярских товаров, справочной литературы, картриджей, бумаги, если в ходе обучения будет выдаваться раздаточный материал, закладываются расходы на его размножение и оплату услуг, включая затраты на текущий ремонт), коммунальные расходы, арендная плата на помещения, здания и сооружения определяются по фактическим данным предшествующего года, либо в случае отсутствия данных - в соответствии с планом работы на будущий год; 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 xml:space="preserve">3.2.4. Прочие расходы - определяются по фактическим данным предшествующего года, либо в случае отсутствия данных - в соответствии с планом работы на будущий год. 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 xml:space="preserve">В себестоимость конкретной платной образовательной услуги косвенные расходы включаются в соответствии с принятой в учреждении методикой, разработанной в соответствии с требованиями действующего законодательства. 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 xml:space="preserve">4. Цены (тарифы) на платные образовательные услуги устанавливаются с учетом покрытия издержек учреждения на оказание данных услуг и предусмотренной рентабельности не более 100 процентов. 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>5. Дискриминация цен на платные образовательные услуги.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>5.1.</w:t>
      </w:r>
      <w:r>
        <w:rPr>
          <w:bCs/>
          <w:szCs w:val="24"/>
        </w:rPr>
        <w:t xml:space="preserve"> </w:t>
      </w:r>
      <w:r w:rsidRPr="00F562B9">
        <w:rPr>
          <w:bCs/>
          <w:szCs w:val="24"/>
        </w:rPr>
        <w:t>Учитывая специфику формирования спроса на различные виды платных образовательных услуг, его неравномерность во времени, организация дополнительного профессионального образования может устанавливать различные цены на одну и ту же услугу (ценовая дискриминация) в зависимости от изменения спроса (если учредителем не установлено иное).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>5.2.</w:t>
      </w:r>
      <w:r>
        <w:rPr>
          <w:bCs/>
          <w:szCs w:val="24"/>
        </w:rPr>
        <w:t xml:space="preserve"> </w:t>
      </w:r>
      <w:r w:rsidRPr="00F562B9">
        <w:rPr>
          <w:bCs/>
          <w:szCs w:val="24"/>
        </w:rPr>
        <w:t>Применение пониженной цены допустимо, если предполагается, что экономический эффект будет обеспечиваться за счет: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>- привлечения большего числа обучающихся;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>- проведения занятий в группе;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>- проведения занятий на территории заказчика;</w:t>
      </w:r>
    </w:p>
    <w:p w:rsidR="00F562B9" w:rsidRPr="00F562B9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>- дотирования менее престижных видов услуг, подразделений (за счет применения понижающих коэффициентов к усредненной цене с одновременным перераспределением разницы в ценах за счет повышения цены на платные образовательные услуги, пользующиеся повышенным спросом).</w:t>
      </w:r>
    </w:p>
    <w:p w:rsidR="004E0B95" w:rsidRDefault="00F562B9" w:rsidP="00F562B9">
      <w:pPr>
        <w:ind w:left="284" w:firstLine="283"/>
        <w:jc w:val="both"/>
        <w:rPr>
          <w:bCs/>
          <w:szCs w:val="24"/>
        </w:rPr>
      </w:pPr>
      <w:r w:rsidRPr="00F562B9">
        <w:rPr>
          <w:bCs/>
          <w:szCs w:val="24"/>
        </w:rPr>
        <w:t>6. Перечень платных образовательных услуг, оказываемых учреждением, цены (тарифы) на платные образовательные услуги, а также изменения в перечень платных образовательных услуг и изменения цен (тарифов) на образовательные услуги утверждаются приказом начальника школы и доводятся до сведения заказчика в установленном в учреждении порядке.</w:t>
      </w:r>
    </w:p>
    <w:p w:rsidR="004E0B95" w:rsidRDefault="004E0B95" w:rsidP="009F131E">
      <w:pPr>
        <w:ind w:left="284" w:firstLine="283"/>
        <w:jc w:val="both"/>
        <w:rPr>
          <w:bCs/>
          <w:szCs w:val="24"/>
        </w:rPr>
      </w:pPr>
    </w:p>
    <w:p w:rsidR="004E0B95" w:rsidRDefault="004E0B95" w:rsidP="009F131E">
      <w:pPr>
        <w:ind w:left="284" w:firstLine="283"/>
        <w:jc w:val="both"/>
        <w:rPr>
          <w:bCs/>
          <w:szCs w:val="24"/>
        </w:rPr>
      </w:pPr>
    </w:p>
    <w:p w:rsidR="00EC6DF3" w:rsidRDefault="00EC6DF3" w:rsidP="00283036">
      <w:pPr>
        <w:ind w:left="284" w:firstLine="283"/>
        <w:jc w:val="both"/>
        <w:rPr>
          <w:bCs/>
          <w:szCs w:val="24"/>
        </w:rPr>
      </w:pPr>
    </w:p>
    <w:p w:rsidR="00BE653B" w:rsidRPr="00283036" w:rsidRDefault="00BE653B" w:rsidP="00283036">
      <w:pPr>
        <w:ind w:left="284" w:firstLine="283"/>
        <w:jc w:val="both"/>
      </w:pPr>
      <w:r w:rsidRPr="00283036">
        <w:t xml:space="preserve">Начальник </w:t>
      </w:r>
    </w:p>
    <w:p w:rsidR="00BE653B" w:rsidRPr="00283036" w:rsidRDefault="00BE653B" w:rsidP="00283036">
      <w:pPr>
        <w:tabs>
          <w:tab w:val="left" w:pos="5103"/>
          <w:tab w:val="left" w:pos="7797"/>
        </w:tabs>
        <w:ind w:left="284" w:firstLine="283"/>
        <w:jc w:val="both"/>
      </w:pPr>
      <w:r w:rsidRPr="00283036">
        <w:t>Сочинской ОТШ «ДОСААФ России»</w:t>
      </w:r>
      <w:r w:rsidRPr="00283036">
        <w:tab/>
      </w:r>
      <w:r w:rsidR="009F131E">
        <w:t xml:space="preserve"> </w:t>
      </w:r>
      <w:r w:rsidRPr="00283036">
        <w:tab/>
      </w:r>
      <w:proofErr w:type="spellStart"/>
      <w:r w:rsidRPr="00283036">
        <w:t>Шальнев</w:t>
      </w:r>
      <w:proofErr w:type="spellEnd"/>
      <w:r w:rsidR="00283036" w:rsidRPr="00283036">
        <w:t xml:space="preserve"> А.О.</w:t>
      </w:r>
    </w:p>
    <w:sectPr w:rsidR="00BE653B" w:rsidRPr="00283036" w:rsidSect="00F9650C">
      <w:pgSz w:w="12240" w:h="15840"/>
      <w:pgMar w:top="284" w:right="616" w:bottom="851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07360"/>
    <w:multiLevelType w:val="multilevel"/>
    <w:tmpl w:val="EB3854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3F7D30"/>
    <w:multiLevelType w:val="hybridMultilevel"/>
    <w:tmpl w:val="BA8AEFF0"/>
    <w:lvl w:ilvl="0" w:tplc="7058577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A253A"/>
    <w:multiLevelType w:val="hybridMultilevel"/>
    <w:tmpl w:val="86CCA24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57B20EC5"/>
    <w:multiLevelType w:val="hybridMultilevel"/>
    <w:tmpl w:val="86CCA24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660B7B40"/>
    <w:multiLevelType w:val="hybridMultilevel"/>
    <w:tmpl w:val="C810A7DA"/>
    <w:lvl w:ilvl="0" w:tplc="0848F31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E4"/>
    <w:rsid w:val="000103C3"/>
    <w:rsid w:val="00073858"/>
    <w:rsid w:val="000746A2"/>
    <w:rsid w:val="000B73DB"/>
    <w:rsid w:val="000E25CA"/>
    <w:rsid w:val="000F199A"/>
    <w:rsid w:val="000F2A6D"/>
    <w:rsid w:val="0012680E"/>
    <w:rsid w:val="00166B21"/>
    <w:rsid w:val="0017479D"/>
    <w:rsid w:val="00177DF6"/>
    <w:rsid w:val="00185547"/>
    <w:rsid w:val="00197CCB"/>
    <w:rsid w:val="001A4F69"/>
    <w:rsid w:val="001C6F6A"/>
    <w:rsid w:val="001F0929"/>
    <w:rsid w:val="001F2637"/>
    <w:rsid w:val="001F5F74"/>
    <w:rsid w:val="0025136C"/>
    <w:rsid w:val="00283036"/>
    <w:rsid w:val="002C088B"/>
    <w:rsid w:val="002C2C84"/>
    <w:rsid w:val="002C5AE4"/>
    <w:rsid w:val="002F2EA1"/>
    <w:rsid w:val="003173D5"/>
    <w:rsid w:val="003304F4"/>
    <w:rsid w:val="0035743F"/>
    <w:rsid w:val="003623C6"/>
    <w:rsid w:val="00366679"/>
    <w:rsid w:val="00382C83"/>
    <w:rsid w:val="003C6339"/>
    <w:rsid w:val="003E11CD"/>
    <w:rsid w:val="003F65CA"/>
    <w:rsid w:val="00401CB4"/>
    <w:rsid w:val="004055AF"/>
    <w:rsid w:val="0043772C"/>
    <w:rsid w:val="00480450"/>
    <w:rsid w:val="004A1AA8"/>
    <w:rsid w:val="004C2A97"/>
    <w:rsid w:val="004C38F6"/>
    <w:rsid w:val="004C70FE"/>
    <w:rsid w:val="004D4F52"/>
    <w:rsid w:val="004D5941"/>
    <w:rsid w:val="004E0B95"/>
    <w:rsid w:val="004F1737"/>
    <w:rsid w:val="00540EB7"/>
    <w:rsid w:val="00576C17"/>
    <w:rsid w:val="005838F9"/>
    <w:rsid w:val="005A1A7D"/>
    <w:rsid w:val="005A2871"/>
    <w:rsid w:val="005B3A41"/>
    <w:rsid w:val="005D597F"/>
    <w:rsid w:val="005D751F"/>
    <w:rsid w:val="005F4993"/>
    <w:rsid w:val="005F576D"/>
    <w:rsid w:val="0061734E"/>
    <w:rsid w:val="00643782"/>
    <w:rsid w:val="00664426"/>
    <w:rsid w:val="0067218B"/>
    <w:rsid w:val="006B1C62"/>
    <w:rsid w:val="00701973"/>
    <w:rsid w:val="00705170"/>
    <w:rsid w:val="007507B9"/>
    <w:rsid w:val="00753551"/>
    <w:rsid w:val="00771B5B"/>
    <w:rsid w:val="007762D2"/>
    <w:rsid w:val="00826F95"/>
    <w:rsid w:val="0085199C"/>
    <w:rsid w:val="00871996"/>
    <w:rsid w:val="008752DD"/>
    <w:rsid w:val="0088084E"/>
    <w:rsid w:val="00883308"/>
    <w:rsid w:val="008912E6"/>
    <w:rsid w:val="0089313A"/>
    <w:rsid w:val="008C306C"/>
    <w:rsid w:val="008E4D08"/>
    <w:rsid w:val="008F184D"/>
    <w:rsid w:val="008F6A0E"/>
    <w:rsid w:val="00900DAD"/>
    <w:rsid w:val="00914D87"/>
    <w:rsid w:val="00954A3F"/>
    <w:rsid w:val="00966788"/>
    <w:rsid w:val="00972095"/>
    <w:rsid w:val="009939EF"/>
    <w:rsid w:val="009B0615"/>
    <w:rsid w:val="009B5AD3"/>
    <w:rsid w:val="009E2941"/>
    <w:rsid w:val="009F0909"/>
    <w:rsid w:val="009F131E"/>
    <w:rsid w:val="009F445B"/>
    <w:rsid w:val="00A419C6"/>
    <w:rsid w:val="00A54696"/>
    <w:rsid w:val="00A67419"/>
    <w:rsid w:val="00A738B1"/>
    <w:rsid w:val="00AB1F1D"/>
    <w:rsid w:val="00AD4704"/>
    <w:rsid w:val="00B035A7"/>
    <w:rsid w:val="00B20663"/>
    <w:rsid w:val="00B23114"/>
    <w:rsid w:val="00B343FD"/>
    <w:rsid w:val="00B754E2"/>
    <w:rsid w:val="00B82ECE"/>
    <w:rsid w:val="00BD4397"/>
    <w:rsid w:val="00BE2C43"/>
    <w:rsid w:val="00BE653B"/>
    <w:rsid w:val="00BF63B1"/>
    <w:rsid w:val="00C06281"/>
    <w:rsid w:val="00C2091C"/>
    <w:rsid w:val="00CF6A8F"/>
    <w:rsid w:val="00D1361F"/>
    <w:rsid w:val="00D304F2"/>
    <w:rsid w:val="00D60828"/>
    <w:rsid w:val="00D628FE"/>
    <w:rsid w:val="00D65220"/>
    <w:rsid w:val="00D70169"/>
    <w:rsid w:val="00D95FA2"/>
    <w:rsid w:val="00DB2298"/>
    <w:rsid w:val="00DC3997"/>
    <w:rsid w:val="00E175E3"/>
    <w:rsid w:val="00E27879"/>
    <w:rsid w:val="00E65A2D"/>
    <w:rsid w:val="00E73E25"/>
    <w:rsid w:val="00EA4378"/>
    <w:rsid w:val="00EC6DF3"/>
    <w:rsid w:val="00EF2EDB"/>
    <w:rsid w:val="00F439AE"/>
    <w:rsid w:val="00F54E4F"/>
    <w:rsid w:val="00F562B9"/>
    <w:rsid w:val="00F74157"/>
    <w:rsid w:val="00F9263F"/>
    <w:rsid w:val="00F9650C"/>
    <w:rsid w:val="00FC3567"/>
    <w:rsid w:val="00FF0B75"/>
    <w:rsid w:val="00FF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2EB43"/>
  <w15:docId w15:val="{E10E7816-7E50-4E1E-BAC5-1D45C63A8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3C6"/>
    <w:rPr>
      <w:sz w:val="24"/>
    </w:rPr>
  </w:style>
  <w:style w:type="paragraph" w:styleId="1">
    <w:name w:val="heading 1"/>
    <w:basedOn w:val="a"/>
    <w:next w:val="a"/>
    <w:qFormat/>
    <w:rsid w:val="003623C6"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"/>
    <w:next w:val="a"/>
    <w:qFormat/>
    <w:rsid w:val="003623C6"/>
    <w:pPr>
      <w:keepNext/>
      <w:jc w:val="both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623C6"/>
    <w:pPr>
      <w:jc w:val="center"/>
    </w:pPr>
    <w:rPr>
      <w:b/>
      <w:sz w:val="20"/>
    </w:rPr>
  </w:style>
  <w:style w:type="table" w:styleId="a4">
    <w:name w:val="Table Grid"/>
    <w:basedOn w:val="a1"/>
    <w:rsid w:val="00BE65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Основной текст_"/>
    <w:basedOn w:val="a0"/>
    <w:link w:val="10"/>
    <w:rsid w:val="00540EB7"/>
    <w:rPr>
      <w:sz w:val="22"/>
      <w:szCs w:val="22"/>
      <w:shd w:val="clear" w:color="auto" w:fill="FFFFFF"/>
    </w:rPr>
  </w:style>
  <w:style w:type="paragraph" w:customStyle="1" w:styleId="10">
    <w:name w:val="Основной текст1"/>
    <w:basedOn w:val="a"/>
    <w:link w:val="a5"/>
    <w:rsid w:val="00540EB7"/>
    <w:pPr>
      <w:shd w:val="clear" w:color="auto" w:fill="FFFFFF"/>
      <w:spacing w:before="900" w:after="900" w:line="0" w:lineRule="atLeast"/>
      <w:ind w:hanging="340"/>
    </w:pPr>
    <w:rPr>
      <w:sz w:val="22"/>
      <w:szCs w:val="22"/>
    </w:rPr>
  </w:style>
  <w:style w:type="paragraph" w:styleId="a6">
    <w:name w:val="Balloon Text"/>
    <w:basedOn w:val="a"/>
    <w:link w:val="a7"/>
    <w:semiHidden/>
    <w:unhideWhenUsed/>
    <w:rsid w:val="0097209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97209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A419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СОЧИНСКАЯ ОБЪЕДИНЕННАЯ ТЕХНИЧЕСКАЯ ШКОЛА РОСТО</vt:lpstr>
    </vt:vector>
  </TitlesOfParts>
  <Company>Grizli777</Company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СОЧИНСКАЯ ОБЪЕДИНЕННАЯ ТЕХНИЧЕСКАЯ ШКОЛА РОСТО</dc:title>
  <dc:creator>ОТШ РОСТО</dc:creator>
  <cp:lastModifiedBy>Admin</cp:lastModifiedBy>
  <cp:revision>3</cp:revision>
  <cp:lastPrinted>2017-08-28T14:57:00Z</cp:lastPrinted>
  <dcterms:created xsi:type="dcterms:W3CDTF">2017-08-28T14:46:00Z</dcterms:created>
  <dcterms:modified xsi:type="dcterms:W3CDTF">2017-08-28T15:01:00Z</dcterms:modified>
</cp:coreProperties>
</file>